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2"/>
        <w:tabOrder w:val="0"/>
        <w:tblpPr w:horzAnchor="margin" w:tblpXSpec="center" w:vertAnchor="page" w:tblpY="421" w:leftFromText="180" w:rightFromText="180" w:topFromText="0" w:bottomFromText="0"/>
        <w:tblOverlap w:val="never"/>
        <w:jc w:val="left"/>
        <w:tblInd w:w="0" w:type="dxa"/>
        <w:tblW w:w="10398" w:type="dxa"/>
        <w:tblLook w:val="01E0" w:firstRow="1" w:lastRow="1" w:firstColumn="1" w:lastColumn="1" w:noHBand="0" w:noVBand="0"/>
      </w:tblPr>
      <w:tblGrid>
        <w:gridCol w:w="10398"/>
      </w:tblGrid>
      <w:tr>
        <w:trPr>
          <w:tblHeader w:val="0"/>
          <w:cantSplit w:val="0"/>
          <w:trHeight w:val="284" w:hRule="atLeast"/>
        </w:trPr>
        <w:tc>
          <w:tcPr>
            <w:tcW w:w="10398" w:type="dxa"/>
            <w:tmTcPr id="1777446218" protected="0"/>
          </w:tcPr>
          <w:p>
            <w:pPr>
              <w:widowControl w:val="0"/>
            </w:pPr>
            <w:r>
              <w:t xml:space="preserve">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457200" cy="718185"/>
                  <wp:effectExtent l="0" t="0" r="0" b="0"/>
                  <wp:docPr id="1" name="Рисунок 1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 Копия 1"/>
                          <pic:cNvPicPr>
                            <a:picLocks noChangeAspect="1"/>
                            <a:extLst>
                              <a:ext uri="sm">
                                <sm:smNativeData xmlns:sm="sm" val="SMDATA_16_Sq3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Gs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81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2851" w:hRule="atLeast"/>
        </w:trPr>
        <w:tc>
          <w:tcPr>
            <w:tcW w:w="10398" w:type="dxa"/>
            <w:tmTcPr id="1777446218" protected="0"/>
          </w:tcPr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Постановление</w:t>
            </w:r>
          </w:p>
          <w:tbl>
            <w:tblPr>
              <w:tblStyle w:val="NormalTable"/>
              <w:name w:val="Таблица1"/>
              <w:tabOrder w:val="0"/>
              <w:jc w:val="left"/>
              <w:tblInd w:w="0" w:type="dxa"/>
              <w:tblW w:w="10182" w:type="dxa"/>
              <w:tblLook w:val="01E0" w:firstRow="1" w:lastRow="1" w:firstColumn="1" w:lastColumn="1" w:noHBand="0" w:noVBand="0"/>
            </w:tblPr>
            <w:tblGrid>
              <w:gridCol w:w="1531"/>
              <w:gridCol w:w="626"/>
              <w:gridCol w:w="396"/>
              <w:gridCol w:w="1751"/>
              <w:gridCol w:w="532"/>
              <w:gridCol w:w="506"/>
              <w:gridCol w:w="583"/>
              <w:gridCol w:w="588"/>
              <w:gridCol w:w="1961"/>
              <w:gridCol w:w="1708"/>
            </w:tblGrid>
            <w:tr>
              <w:trPr>
                <w:tblHeader w:val="0"/>
                <w:cantSplit w:val="0"/>
                <w:trHeight w:val="339" w:hRule="atLeast"/>
              </w:trPr>
              <w:tc>
                <w:tcPr>
                  <w:tcW w:w="1531" w:type="dxa"/>
                  <w:tmTcPr id="1777446218" protected="0"/>
                </w:tcPr>
                <w:p>
                  <w:pPr>
                    <w:ind w:right="33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 «</w:t>
                  </w:r>
                </w:p>
              </w:tc>
              <w:tc>
                <w:tcPr>
                  <w:tcW w:w="626" w:type="dxa"/>
                  <w:tcBorders>
                    <w:bottom w:val="single" w:sz="4" w:space="0" w:color="000000" tmln="10, 20, 20, 0, 0"/>
                  </w:tcBorders>
                  <w:tmTcPr id="1777446218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29</w:t>
                  </w:r>
                </w:p>
              </w:tc>
              <w:tc>
                <w:tcPr>
                  <w:tcW w:w="396" w:type="dxa"/>
                  <w:tmTcPr id="1777446218" protected="0"/>
                </w:tcPr>
                <w:p>
                  <w:pPr>
                    <w:spacing/>
                    <w:jc w:val="both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51" w:type="dxa"/>
                  <w:tcBorders>
                    <w:bottom w:val="single" w:sz="4" w:space="0" w:color="000000" tmln="10, 20, 20, 0, 0"/>
                  </w:tcBorders>
                  <w:tmTcPr id="1777446218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апреля</w:t>
                  </w:r>
                </w:p>
              </w:tc>
              <w:tc>
                <w:tcPr>
                  <w:tcW w:w="532" w:type="dxa"/>
                  <w:tmTcPr id="1777446218" protected="0"/>
                </w:tcPr>
                <w:p>
                  <w:pPr>
                    <w:ind w:right="-76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000000" tmln="10, 20, 20, 0, 0"/>
                  </w:tcBorders>
                  <w:tmTcPr id="1777446218" protected="0"/>
                </w:tcPr>
                <w:p>
                  <w:pPr>
                    <w:ind w:right="-152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83" w:type="dxa"/>
                  <w:tmTcPr id="1777446218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88" w:type="dxa"/>
                  <w:tmTcPr id="1777446218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000000" tmln="10, 20, 20, 0, 0"/>
                  </w:tcBorders>
                  <w:tmTcPr id="1777446218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279  </w:t>
                  </w:r>
                </w:p>
              </w:tc>
              <w:tc>
                <w:tcPr>
                  <w:tcW w:w="1708" w:type="dxa"/>
                  <w:tmTcPr id="1777446218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tabs defTabSz="708">
                <w:tab w:val="left" w:pos="15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267335</wp:posOffset>
                </wp:positionV>
                <wp:extent cx="114300" cy="175260"/>
                <wp:effectExtent l="0" t="0" r="0" b="0"/>
                <wp:wrapSquare wrapText="bothSides"/>
                <wp:docPr id="3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Sq3x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BJQAAOEE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CAAAAAQAAAAAAAAABAAAAAAAAAKUBAAC0AAAAFAEAAAAAAAAVGAAApQEAACgAAAAIAAAAAgAAAAI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 2" o:spid="_x0000_s1026" type="#_x0000_t202" style="position:absolute;mso-position-horizontal:center;margin-top:21.05pt;mso-position-horizontal-relative:margin;mso-position-vertical-relative:page;width:9.00pt;height:13.80pt;z-index:251658243;mso-wrap-distance-left:9.00pt;mso-wrap-distance-top:0.00pt;mso-wrap-distance-right:9.00pt;mso-wrap-distance-bottom:0.00pt;mso-wrap-style:none" stroked="f" filled="f" v:ext="SMDATA_14_Sq3x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BJQAAOEE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CAAAAAQAAAAAAAAABAAAAAAAAAKUBAAC0AAAAFAEAAAAAAAAVGAAApQEAACgAAAAIAAAAAgAAAAIAAAA=" o:insetmode="custom">
                <w10:wrap type="square" anchorx="margin" anchory="page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267335</wp:posOffset>
                </wp:positionV>
                <wp:extent cx="114300" cy="175260"/>
                <wp:effectExtent l="0" t="0" r="0" b="0"/>
                <wp:wrapSquare wrapText="bothSides"/>
                <wp:docPr id="4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Sq3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gAAIAAAAAAAAAACAAAAAQAAAAAAAAAAAAAAAAAAAKUBAAC0AAAAFAEAAAAAAAAVGAAApQEAACgAAAAIAAAAAwAAAAM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овое поле 3" o:spid="_x0000_s1027" style="position:absolute;mso-position-horizontal:center;margin-top:21.05pt;mso-position-horizontal-relative:margin;mso-position-vertical-relative:page;width:9.00pt;height:13.80pt;z-index:251658244;mso-wrap-distance-left:9.00pt;mso-wrap-distance-top:0.00pt;mso-wrap-distance-right:9.00pt;mso-wrap-distance-bottom:0.00pt;mso-wrap-style:none" stroked="f" filled="f" v:ext="SMDATA_14_Sq3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gAAIAAAAAAAAAACAAAAAQAAAAAAAAAAAAAAAAAAAKUBAAC0AAAAFAEAAAAAAAAVGAAApQEAACgAAAAIAAAAAwAAAAMAAAA=" o:insetmode="custom">
                <w10:wrap type="square" anchorx="margin" anchory="page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</w:t>
      </w:r>
      <w:r>
        <w:rPr>
          <w:sz w:val="28"/>
          <w:szCs w:val="28"/>
        </w:rPr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/>
          <w:sz w:val="28"/>
          <w:szCs w:val="28"/>
        </w:rPr>
        <w:t>Анжеро-Судженского городского округа</w:t>
      </w:r>
      <w:r/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/>
          <w:sz w:val="28"/>
          <w:szCs w:val="28"/>
        </w:rPr>
        <w:t xml:space="preserve">      </w:t>
      </w:r>
      <w:r/>
    </w:p>
    <w:p>
      <w:pPr>
        <w:ind w:firstLine="420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>В целях рассмотрения наиболее важных вопросов и выработке предложений по реализации в Кемеровской области – Кузбассе мероприятий специального проекта «Вызов» стратегической программы «Дети в семье» Уполномоченного при Президенте Российской Федерации по правам ребенка Львовой-Беловой М.А., направленной на снижение уровня социального сиротства:</w:t>
      </w:r>
    </w:p>
    <w:p>
      <w:pPr>
        <w:ind w:firstLine="420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>1. Создать межведомственный консилиум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Анжеро-Судженского городского округа и утвердить его состав согласно приложению 1 к настоящему постановлению.</w:t>
      </w:r>
    </w:p>
    <w:p>
      <w:pPr>
        <w:ind w:firstLine="420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>2.  Утвердить прилагаемый Порядок работы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Анжеро-Судженского городского округа согласно приложению 2 к настоящему постановлению.</w:t>
      </w:r>
    </w:p>
    <w:p>
      <w:pPr>
        <w:ind w:firstLine="14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ind w:firstLine="14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 xml:space="preserve">    3. Признать утратившими силу следующие постановления Администрации Анжеро-Судженского городского округа: </w:t>
      </w:r>
    </w:p>
    <w:p>
      <w:pPr>
        <w:pStyle w:val="para6"/>
        <w:numPr>
          <w:ilvl w:val="0"/>
          <w:numId w:val="1"/>
        </w:numPr>
        <w:ind w:left="862" w:hanging="360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>№ 52 от 20.01.2025 г. «О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</w:t>
      </w:r>
    </w:p>
    <w:p>
      <w:pPr>
        <w:pStyle w:val="para6"/>
        <w:ind w:left="86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 xml:space="preserve">Анжеро-Судженского городского округа»; </w:t>
      </w:r>
    </w:p>
    <w:p>
      <w:pPr>
        <w:pStyle w:val="para6"/>
        <w:ind w:left="86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6"/>
        <w:ind w:left="86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6"/>
        <w:ind w:left="86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6"/>
        <w:ind w:left="86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6"/>
        <w:numPr>
          <w:ilvl w:val="0"/>
          <w:numId w:val="1"/>
        </w:numPr>
        <w:ind w:left="862" w:hanging="360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>№ 403 от 25.03.2025 г. «О внесении изменений в постановление администрации Анжеро-Судженского городского округа от 20.01.2025 № 52 «О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Анжеро-Судженского городского округа»;</w:t>
      </w:r>
    </w:p>
    <w:p>
      <w:pPr>
        <w:pStyle w:val="para6"/>
        <w:numPr>
          <w:ilvl w:val="0"/>
          <w:numId w:val="1"/>
        </w:numPr>
        <w:ind w:left="862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№ 892 от 03.09.2025 г. «О внесении изменений в постановление администрации Анжеро-Судженского городского округа от 25.03.2025 № 403 «О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Анжеро-Судженского городского округа»;</w:t>
      </w:r>
    </w:p>
    <w:p>
      <w:pPr>
        <w:pStyle w:val="para6"/>
        <w:numPr>
          <w:ilvl w:val="0"/>
          <w:numId w:val="1"/>
        </w:numPr>
        <w:ind w:left="862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№ 55 от 03.02.2026 г. «</w:t>
      </w:r>
      <w:r/>
      <w:bookmarkStart w:id="0" w:name="_GoBack"/>
      <w:r/>
      <w:bookmarkEnd w:id="0"/>
      <w:r/>
      <w:r>
        <w:rPr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sz w:val="28"/>
          <w:szCs w:val="28"/>
        </w:rPr>
        <w:t>03.09.</w:t>
      </w:r>
      <w:r>
        <w:rPr>
          <w:sz w:val="28"/>
          <w:szCs w:val="28"/>
        </w:rPr>
        <w:t xml:space="preserve">2025 № </w:t>
      </w:r>
      <w:r>
        <w:rPr>
          <w:sz w:val="28"/>
          <w:szCs w:val="28"/>
        </w:rPr>
        <w:t>892</w:t>
      </w:r>
      <w:r>
        <w:rPr>
          <w:sz w:val="28"/>
          <w:szCs w:val="28"/>
        </w:rPr>
        <w:t xml:space="preserve"> «О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</w:t>
      </w:r>
      <w:r>
        <w:rPr>
          <w:sz w:val="28"/>
          <w:szCs w:val="28"/>
        </w:rPr>
        <w:t>-Судженского городского округа».</w:t>
      </w:r>
      <w:r>
        <w:rPr>
          <w:sz w:val="28"/>
          <w:szCs w:val="28"/>
        </w:rPr>
      </w:r>
    </w:p>
    <w:p>
      <w:pPr>
        <w:ind w:left="502"/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Cs/>
          <w:sz w:val="28"/>
          <w:szCs w:val="28"/>
        </w:rPr>
        <w:t xml:space="preserve">     4.    </w:t>
      </w:r>
      <w:r>
        <w:rPr>
          <w:sz w:val="28"/>
          <w:szCs w:val="28"/>
        </w:rPr>
        <w:t xml:space="preserve">Разместить настоящее постановление на официальном сайте   городского округа в информационно-телекоммуникационной сети «Интернет», электронный адрес </w:t>
      </w:r>
      <w:hyperlink r:id="rId9" w:history="1">
        <w:r>
          <w:rPr>
            <w:color w:val="0000ff"/>
            <w:sz w:val="28"/>
            <w:szCs w:val="28"/>
            <w:u w:color="auto" w:val="single"/>
            <w:lang w:val="en-us"/>
          </w:rPr>
          <w:t>www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anzhero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ru</w:t>
        </w:r>
      </w:hyperlink>
      <w:r>
        <w:rPr>
          <w:sz w:val="28"/>
          <w:szCs w:val="28"/>
        </w:rPr>
        <w:t>.</w:t>
      </w:r>
      <w:r/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    5. Контроль за исполнением постановления возложить на заместителя главы городского округа (по социальным вопросам) Е.П. Полканову. </w:t>
      </w:r>
      <w:r/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5" behindDoc="1" locked="0" layoutInCell="0" hidden="0" allowOverlap="1">
            <wp:simplePos x="0" y="0"/>
            <wp:positionH relativeFrom="page">
              <wp:posOffset>3419475</wp:posOffset>
            </wp:positionH>
            <wp:positionV relativeFrom="page">
              <wp:posOffset>7398385</wp:posOffset>
            </wp:positionV>
            <wp:extent cx="1390650" cy="13906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/>
                      <a:extLst>
                        <a:ext uri="sm">
                          <sm:smNativeData xmlns:sm="sm" val="SMDATA_16_Sq3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VAAAAAAAAAAAAAAAAAAAAAQAAAAAAAAAJFQAAAQAAAAAAAACDLQAAjggAAI4IAAABAAAACRUAAIMt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  <w:tab/>
        <w:tab/>
        <w:tab/>
        <w:tab/>
        <w:t xml:space="preserve">                          Д.В. Ажичаков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</w:pPr>
      <w:r>
        <w:rPr>
          <w:sz w:val="28"/>
          <w:szCs w:val="28"/>
        </w:rPr>
        <w:t>Приложение 1</w:t>
      </w:r>
      <w:r/>
    </w:p>
    <w:p>
      <w:pPr>
        <w:spacing/>
        <w:jc w:val="right"/>
      </w:pPr>
      <w:r>
        <w:rPr>
          <w:sz w:val="28"/>
          <w:szCs w:val="28"/>
        </w:rPr>
        <w:t xml:space="preserve">к Постановлению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администрации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Анжеро-Судженского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городского округа    </w:t>
      </w:r>
      <w:r>
        <w:rPr>
          <w:b/>
          <w:bCs/>
          <w:sz w:val="28"/>
          <w:szCs w:val="28"/>
        </w:rPr>
        <w:t xml:space="preserve"> </w:t>
      </w:r>
      <w:r/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29 апреля 2026г. № 279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 xml:space="preserve">Состав </w:t>
      </w:r>
      <w:r/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/>
          <w:sz w:val="28"/>
          <w:szCs w:val="28"/>
        </w:rPr>
        <w:t xml:space="preserve">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</w:t>
      </w:r>
      <w:r/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Grid"/>
        <w:name w:val="Таблица4"/>
        <w:tabOrder w:val="0"/>
        <w:jc w:val="left"/>
        <w:tblInd w:w="0" w:type="dxa"/>
        <w:tblW w:w="9601" w:type="dxa"/>
        <w:tblLook w:val="04A0" w:firstRow="1" w:lastRow="0" w:firstColumn="1" w:lastColumn="0" w:noHBand="0" w:noVBand="1"/>
      </w:tblPr>
      <w:tblGrid>
        <w:gridCol w:w="6919"/>
        <w:gridCol w:w="2682"/>
      </w:tblGrid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Полканова Екатерина Павловна </w:t>
            </w:r>
            <w:r/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главы Анжеро-Судженского городского округа, председатель межведомственного консилиума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Семкина Марина Викторовна</w:t>
            </w:r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образования администрации Анжеро-Судженского городского округа,</w:t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председателя межведомственного консилиума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</w:pPr>
            <w:r/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601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Тутукина Ксения Олеговна                                                    главный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специалист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комиссии по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делам   </w:t>
            </w:r>
          </w:p>
          <w:p>
            <w:pPr>
              <w:ind w:right="-393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несовершеннолетних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и защите их прав,                 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секретарь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межведомственного             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консилиума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</w:t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Члены консилиума:</w:t>
            </w: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Кашич Максим Анатольевич</w:t>
            </w:r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прокурор города Анжеро - Судженска (по согласованию)</w:t>
            </w:r>
          </w:p>
        </w:tc>
      </w:tr>
      <w:tr>
        <w:trPr>
          <w:tblHeader w:val="0"/>
          <w:cantSplit w:val="0"/>
          <w:trHeight w:val="960" w:hRule="atLeast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Исаева Ирина Валерьевна</w:t>
            </w:r>
            <w:r/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опеки и попечительства      управления образования администрации Анжеро-Судженского городского округа</w:t>
            </w:r>
            <w:r/>
          </w:p>
        </w:tc>
      </w:tr>
      <w:tr>
        <w:trPr>
          <w:tblHeader w:val="0"/>
          <w:cantSplit w:val="0"/>
          <w:trHeight w:val="1349" w:hRule="atLeast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sz w:val="28"/>
                <w:szCs w:val="28"/>
              </w:rPr>
              <w:t>Юндина Насиха Рухулловна</w:t>
            </w:r>
            <w:r/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депутат Совета народных депутатов городского округа, директор муниципального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казенного учреждения Анжеро-Судженского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 «Центр социальной помощи семье и детям»</w:t>
            </w:r>
            <w:r/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Устюгова Оксана Васильевна </w:t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Кондрицкий Александр Владимирович</w:t>
            </w:r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начальника отдела – начальник отделения (отделение по делам несовершеннолетних) отдела участковых уполномоченных полиции и по делам несовершеннолетних отдела МВД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России по Анжеро-Судженскому городскому округу (подполковник полиции)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социальной защиты населения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Косьяненко Ирина Константиновна    </w:t>
            </w:r>
            <w:r/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психолог государственного бюджетного учреждения здравоохранения «Анжеро-Судженский психоневрологический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диспансер» (по согласованию)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Бурматова Елена Александровна</w:t>
            </w:r>
            <w:r/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комитета по физической культуре, спорту и молодёжной политике администрации Анжеро-Судженского городского округа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91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Кутняков Константин Николаевич </w:t>
            </w: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tbl>
            <w:tblPr>
              <w:tblStyle w:val="TableGrid"/>
              <w:name w:val="Таблица3"/>
              <w:tabOrder w:val="0"/>
              <w:jc w:val="left"/>
              <w:tblInd w:w="0" w:type="dxa"/>
              <w:tblW w:w="9454" w:type="dxa"/>
              <w:tblLook w:val="04A0" w:firstRow="1" w:lastRow="0" w:firstColumn="1" w:lastColumn="0" w:noHBand="0" w:noVBand="1"/>
            </w:tblPr>
            <w:tblGrid>
              <w:gridCol w:w="4635"/>
              <w:gridCol w:w="4819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4635" w:type="dxa"/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777446218" protected="0"/>
                </w:tcPr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</w:pPr>
                  <w:r>
                    <w:rPr>
                      <w:bCs/>
                      <w:sz w:val="28"/>
                      <w:szCs w:val="28"/>
                    </w:rPr>
                    <w:t>Чемякина Марина Геннадьевна</w:t>
                  </w:r>
                  <w:r/>
                </w:p>
              </w:tc>
              <w:tc>
                <w:tcPr>
                  <w:tcW w:w="4819" w:type="dxa"/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777446218" protected="0"/>
                </w:tcPr>
                <w:p>
                  <w:pPr>
                    <w:widowControl w:val="0"/>
                  </w:pPr>
                  <w:r/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</w:pPr>
                  <w:r/>
                </w:p>
              </w:tc>
            </w:tr>
          </w:tbl>
          <w:p>
            <w:pPr>
              <w:widowControl w:val="0"/>
            </w:pPr>
            <w:r/>
          </w:p>
        </w:tc>
        <w:tc>
          <w:tcPr>
            <w:tcW w:w="268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главный врач государствен-ного автономного учреждения здравоохранения «Анжеро-Судженская городская больница им. А.А. Гороховского» (по согласованию)</w:t>
            </w: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правового управления администрации Анжеро-Судженского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</w:t>
            </w:r>
            <w:r/>
          </w:p>
        </w:tc>
      </w:tr>
    </w:tbl>
    <w:p>
      <w:r/>
    </w:p>
    <w:tbl>
      <w:tblPr>
        <w:tblStyle w:val="TableGrid"/>
        <w:name w:val="Таблица5"/>
        <w:tabOrder w:val="0"/>
        <w:jc w:val="left"/>
        <w:tblInd w:w="0" w:type="dxa"/>
        <w:tblW w:w="9601" w:type="dxa"/>
        <w:tblLook w:val="04A0" w:firstRow="1" w:lastRow="0" w:firstColumn="1" w:lastColumn="0" w:noHBand="0" w:noVBand="1"/>
      </w:tblPr>
      <w:tblGrid>
        <w:gridCol w:w="4513"/>
        <w:gridCol w:w="5088"/>
      </w:tblGrid>
      <w:tr>
        <w:trPr>
          <w:tblHeader w:val="0"/>
          <w:cantSplit w:val="0"/>
          <w:trHeight w:val="0" w:hRule="auto"/>
        </w:trPr>
        <w:tc>
          <w:tcPr>
            <w:tcW w:w="451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Вавилова Анна Юрьевна</w:t>
            </w:r>
            <w:r/>
          </w:p>
        </w:tc>
        <w:tc>
          <w:tcPr>
            <w:tcW w:w="508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6218" protected="0"/>
          </w:tcPr>
          <w:p>
            <w:pPr>
              <w:widowControl w:val="0"/>
            </w:pP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ответственный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секретарь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комиссии по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делам                             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несовершеннолетних  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и защите их прав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</w:t>
            </w:r>
          </w:p>
        </w:tc>
      </w:tr>
    </w:tbl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</w:pPr>
      <w:r>
        <w:rPr>
          <w:sz w:val="28"/>
          <w:szCs w:val="28"/>
        </w:rPr>
        <w:t>Приложение 2</w:t>
      </w:r>
      <w:r/>
    </w:p>
    <w:p>
      <w:pPr>
        <w:spacing/>
        <w:jc w:val="right"/>
      </w:pPr>
      <w:r>
        <w:rPr>
          <w:sz w:val="28"/>
          <w:szCs w:val="28"/>
        </w:rPr>
        <w:t xml:space="preserve">к Постановлению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администрации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Анжеро-Судженского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городского округа    </w:t>
      </w:r>
      <w:r>
        <w:rPr>
          <w:b/>
          <w:bCs/>
          <w:sz w:val="28"/>
          <w:szCs w:val="28"/>
        </w:rPr>
        <w:t xml:space="preserve"> </w:t>
      </w:r>
      <w:r/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                                                                                         От 29 апреля 2026г. № 279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pacing w:line="276" w:lineRule="auto"/>
        <w:jc w:val="center"/>
      </w:pPr>
      <w:r>
        <w:rPr>
          <w:b/>
          <w:bCs/>
          <w:sz w:val="28"/>
          <w:szCs w:val="28"/>
        </w:rPr>
        <w:t xml:space="preserve"> Порядок</w:t>
      </w:r>
      <w:r/>
    </w:p>
    <w:p>
      <w:pPr>
        <w:spacing w:line="276" w:lineRule="auto"/>
        <w:jc w:val="center"/>
      </w:pPr>
      <w:r>
        <w:rPr>
          <w:b/>
          <w:bCs/>
          <w:sz w:val="28"/>
          <w:szCs w:val="28"/>
        </w:rPr>
        <w:t>работы межведомственного консилиума муниципального образования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1.     Общие положения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1.1.</w:t>
      </w:r>
      <w:r>
        <w:rPr>
          <w:sz w:val="28"/>
          <w:szCs w:val="28"/>
        </w:rPr>
        <w:t xml:space="preserve">  Межведомственный консилиум муниципального образования (Далее — МК) является одной из форм взаимодействия субъектов профилактики муниципальных образований региона, направленного на оценку ситуации и принятие решений обоснованности помещения детей, а также продления срока пребывания в организациях для детей-сирот и детей, оставшихся без попечения родителей , на территории Анжеро-Судженского городского округа Кемеровской области — Кузбасса создается в целях реализации специального проекта «Вызов» стратегической программы «Дети в семье» Уполномоченного при Президенте Российской Федерации по правам ребенка Львовой-Беловой М.А.</w:t>
      </w:r>
      <w:r/>
    </w:p>
    <w:p>
      <w:pPr>
        <w:spacing w:line="276" w:lineRule="auto"/>
        <w:jc w:val="both"/>
      </w:pPr>
      <w:r>
        <w:rPr>
          <w:b/>
          <w:bCs/>
          <w:color w:val="000000"/>
          <w:sz w:val="28"/>
          <w:szCs w:val="28"/>
        </w:rPr>
        <w:t xml:space="preserve">1.2.  </w:t>
      </w:r>
      <w:r>
        <w:rPr>
          <w:color w:val="000000"/>
          <w:sz w:val="28"/>
          <w:szCs w:val="28"/>
        </w:rPr>
        <w:t xml:space="preserve">Настоящее положение разработано в соответствии с Конституцией РФ, Федеральным законом от 24 июня 1999 года No 120-ФЗ «Об основах системы профилактики безнадзорности и правонарушений несовершеннолетних»; иными законами и нормативными актами Российской Федерации, нормативными правовыми актами Кемеровской области — Кузбасса и настоящим Положением  </w:t>
      </w:r>
      <w:r>
        <w:rPr>
          <w:bCs/>
          <w:color w:val="000000"/>
          <w:sz w:val="28"/>
          <w:szCs w:val="28"/>
        </w:rPr>
        <w:t>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Анжеро-Судженского городского округа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2. Задачами МК являются: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2.1. </w:t>
      </w:r>
      <w:r>
        <w:rPr>
          <w:sz w:val="28"/>
          <w:szCs w:val="28"/>
        </w:rPr>
        <w:t>Сохранить или оперативно восстановить для ребенка ситуацию проживания в семье (приоритетно кровной) в случаях возникновения трудных жизненных обстоятельств, появления риска помещения в организации для детей-сирот, в учреждения здравоохранения и социального обслуживания семьи и детей.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2.2.</w:t>
      </w:r>
      <w:r>
        <w:rPr>
          <w:sz w:val="28"/>
          <w:szCs w:val="28"/>
        </w:rPr>
        <w:t xml:space="preserve"> Формировать единое профессиональное поле деятельности специалистов, создать общее коммуникативное пространство и постоянный взаимообмен информацией.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2.3. </w:t>
      </w:r>
      <w:r>
        <w:rPr>
          <w:sz w:val="28"/>
          <w:szCs w:val="28"/>
        </w:rPr>
        <w:t>Содействовать развитию новых и совершенствовать существующие социальные услуги для семей с детьми, направленные на профилактику социального сиротства.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2.4.</w:t>
      </w:r>
      <w:r>
        <w:rPr>
          <w:sz w:val="28"/>
          <w:szCs w:val="28"/>
        </w:rPr>
        <w:t xml:space="preserve"> Планировать и согласовывать действия специалистов и семьи, осуществлять координацию действий специалистов в проблемных и критических ситуациях.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 Структура и организация деятельности межведомственного консилиума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состав </w:t>
      </w:r>
      <w:r>
        <w:rPr>
          <w:color w:val="000000"/>
          <w:sz w:val="28"/>
          <w:szCs w:val="28"/>
        </w:rPr>
        <w:t>Межведомственного консилиума входят: председатель, заместитель председателя, секретарь и иные.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3.2.</w:t>
      </w:r>
      <w:r>
        <w:rPr>
          <w:sz w:val="28"/>
          <w:szCs w:val="28"/>
        </w:rPr>
        <w:t xml:space="preserve">   На заседания консилиума могут приглашаться иные специалисты, по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>конкретному случаю.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3.3.</w:t>
      </w:r>
      <w:r>
        <w:rPr>
          <w:sz w:val="28"/>
          <w:szCs w:val="28"/>
        </w:rPr>
        <w:t xml:space="preserve">   Специалисты, включенные в муниципальный МК, выполняют работу в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>рамках основного рабочего времени.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3.4.</w:t>
      </w:r>
      <w:r>
        <w:rPr>
          <w:sz w:val="28"/>
          <w:szCs w:val="28"/>
        </w:rPr>
        <w:t xml:space="preserve"> Отбор случаев для рассмотрения на консилиуме осуществляется секретарем МК.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4. Основные функции межведомственного консилиума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Функциями межведомственного консилиума являются: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регулирование межведомственного взаимодействия органов, служб и учреждений, действующих в системе профилактики социального сиротства, в решении задач преодоления детского и семейного неблагополучия и социального сиротства;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принятие коллегиальных решений по отдельным случаям, требующим индивидуального подхода.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5. Основные права межведомственного консилиума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 xml:space="preserve">     Межведомственный консилиум для выполнения возложенных на него основных задач и функций имеет право: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запрашивать в установленном порядке от исполнительных органов Кемеровской области – Кузбасса, органов местного самоуправления муниципальных образований Кемеровской области – Кузбасса, организаций для детей-сирот, учреждений здравоохранения и социальной сферы необходимые материалы и информацию по вопросам, относящимся к компетенции межведомственного консилиума;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заслушивать на заседании межведомственного консилиума информацию представителей органов опеки и попечительства, комиссии по делам несовершеннолетних и защите их прав, учреждений здравоохранения и социальной сферы, общественных объединений и иных организаций по вопросам, относящимся к компетенции межведомственного консилиума.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6. Порядок подготовки и проведения Консилиума</w:t>
      </w:r>
      <w:r/>
    </w:p>
    <w:p>
      <w:pPr>
        <w:pStyle w:val="para2"/>
      </w:pPr>
      <w:r>
        <w:rPr>
          <w:b/>
          <w:bCs/>
          <w:sz w:val="28"/>
          <w:szCs w:val="28"/>
        </w:rPr>
        <w:t xml:space="preserve">6.1. </w:t>
      </w:r>
      <w:r>
        <w:rPr>
          <w:sz w:val="28"/>
          <w:szCs w:val="28"/>
        </w:rPr>
        <w:t>Заседания муниципального МК проводятся под руководством председателя либо его заместителем.</w:t>
      </w:r>
      <w:r/>
    </w:p>
    <w:p>
      <w:pPr>
        <w:spacing w:line="276" w:lineRule="auto"/>
        <w:jc w:val="both"/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Заседания Межведомственного консилиума проводятся по необходимости в формате очных встреч для реализации проекта «Вызов» в Кемеровской области – Кузбассе. 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Заседание Межведомственного консилиума считается правомочным, если в нем принимает участие не менее половины представителей от общего числа членов, входящих в его состав.</w:t>
      </w:r>
      <w:r/>
    </w:p>
    <w:p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6.2.  </w:t>
      </w:r>
      <w:r>
        <w:rPr>
          <w:sz w:val="28"/>
          <w:szCs w:val="28"/>
        </w:rPr>
        <w:t>Решения Консилиума оформляются протоколом. Протокол Консилиума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>подшивается в папку, а также в реабилитационную карту несовершеннолетнего, личное дело семьи.</w:t>
      </w:r>
      <w:r/>
    </w:p>
    <w:p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7. Срок действия и порядок пересмотра Порядка</w:t>
      </w:r>
      <w:r>
        <w:rPr>
          <w:sz w:val="28"/>
          <w:szCs w:val="28"/>
        </w:rPr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</w:t>
      </w:r>
      <w:r>
        <w:rPr>
          <w:sz w:val="28"/>
          <w:szCs w:val="28"/>
        </w:rPr>
        <w:t xml:space="preserve"> Срок действия Порядка не ограничен. Порядок действует до принятия нового. 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7.2 </w:t>
      </w:r>
      <w:r>
        <w:rPr>
          <w:sz w:val="28"/>
          <w:szCs w:val="28"/>
        </w:rPr>
        <w:t>Пересмотр Порядка осуществляется в случае изменения функций Межведомственного консилиума, а также в других случаях в соответствии с действующим законодательством Российской Федерации.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/>
        <w:jc w:val="right"/>
        <w:rPr>
          <w:b/>
          <w:bCs/>
        </w:rPr>
      </w:pPr>
      <w:r>
        <w:rPr>
          <w:b/>
          <w:bCs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55" w:top="142" w:right="850" w:bottom="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502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222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942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662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382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102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822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542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262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6"/>
    <w:tmLastPosSelect w:val="0"/>
    <w:tmLastPosFrameIdx w:val="0"/>
    <w:tmLastPosCaret>
      <w:tmLastPosPgfIdx w:val="80"/>
      <w:tmLastPosIdx w:val="114"/>
    </w:tmLastPosCaret>
    <w:tmLastPosAnchor>
      <w:tmLastPosPgfIdx w:val="0"/>
      <w:tmLastPosIdx w:val="0"/>
    </w:tmLastPosAnchor>
    <w:tmLastPosTblRect w:left="0" w:top="0" w:right="0" w:bottom="0"/>
  </w:tmLastPos>
  <w:tmAppRevision w:date="1777446218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Неразрешенное упоминание1"/>
    <w:basedOn w:val="char0"/>
    <w:rPr>
      <w:color w:val="605e5c"/>
      <w:shd w:val="clear" w:fill="e1dfdd"/>
    </w:rPr>
  </w:style>
  <w:style w:type="character" w:styleId="char4" w:customStyle="1">
    <w:name w:val="Символ нумерации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Неразрешенное упоминание1"/>
    <w:basedOn w:val="char0"/>
    <w:rPr>
      <w:color w:val="605e5c"/>
      <w:shd w:val="clear" w:fill="e1dfdd"/>
    </w:rPr>
  </w:style>
  <w:style w:type="character" w:styleId="char4" w:customStyle="1">
    <w:name w:val="Символ нумерации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/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Е.П.</dc:creator>
  <cp:keywords/>
  <dc:description/>
  <cp:lastModifiedBy/>
  <cp:revision>14</cp:revision>
  <cp:lastPrinted>2026-04-28T04:24:00Z</cp:lastPrinted>
  <dcterms:created xsi:type="dcterms:W3CDTF">2026-02-03T08:25:00Z</dcterms:created>
  <dcterms:modified xsi:type="dcterms:W3CDTF">2026-04-29T07:03:38Z</dcterms:modified>
</cp:coreProperties>
</file>